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17D" w:rsidRPr="004E017D" w:rsidRDefault="004E017D" w:rsidP="004E017D">
      <w:pPr>
        <w:shd w:val="clear" w:color="auto" w:fill="FFFFFF"/>
        <w:spacing w:after="240" w:line="240" w:lineRule="auto"/>
        <w:ind w:left="-630"/>
        <w:jc w:val="center"/>
        <w:rPr>
          <w:rFonts w:ascii="Arial" w:eastAsia="Times New Roman" w:hAnsi="Arial" w:cs="Arial"/>
          <w:color w:val="464646"/>
          <w:sz w:val="26"/>
          <w:szCs w:val="26"/>
        </w:rPr>
      </w:pPr>
      <w:r w:rsidRPr="004E017D">
        <w:rPr>
          <w:rFonts w:ascii="Arial" w:eastAsia="Times New Roman" w:hAnsi="Arial" w:cs="Arial"/>
          <w:b/>
          <w:bCs/>
          <w:color w:val="31859B"/>
          <w:sz w:val="26"/>
          <w:szCs w:val="26"/>
        </w:rPr>
        <w:t>COMPARISON OF STATE LAWS FOR STREAMLINED MINISTERIAL PROCESS</w:t>
      </w:r>
    </w:p>
    <w:tbl>
      <w:tblPr>
        <w:tblW w:w="10980" w:type="dxa"/>
        <w:tblCellSpacing w:w="15" w:type="dxa"/>
        <w:tblInd w:w="-818" w:type="dxa"/>
        <w:tblBorders>
          <w:top w:val="single" w:sz="2" w:space="0" w:color="B6B6B6"/>
          <w:left w:val="single" w:sz="2" w:space="0" w:color="B6B6B6"/>
          <w:bottom w:val="single" w:sz="2" w:space="0" w:color="B6B6B6"/>
          <w:right w:val="single" w:sz="2" w:space="0" w:color="B6B6B6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50"/>
        <w:gridCol w:w="2790"/>
        <w:gridCol w:w="2569"/>
        <w:gridCol w:w="2471"/>
      </w:tblGrid>
      <w:tr w:rsidR="004E017D" w:rsidRPr="004E017D" w:rsidTr="004E017D">
        <w:trPr>
          <w:trHeight w:val="610"/>
          <w:tblHeader/>
          <w:tblCellSpacing w:w="15" w:type="dxa"/>
        </w:trPr>
        <w:tc>
          <w:tcPr>
            <w:tcW w:w="3105" w:type="dxa"/>
            <w:tcBorders>
              <w:top w:val="outset" w:sz="6" w:space="0" w:color="auto"/>
              <w:left w:val="single" w:sz="6" w:space="0" w:color="04586E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017D" w:rsidRPr="004E017D" w:rsidRDefault="004E017D" w:rsidP="004E017D">
            <w:pPr>
              <w:spacing w:after="210" w:line="240" w:lineRule="auto"/>
              <w:jc w:val="center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4E017D">
              <w:rPr>
                <w:rFonts w:ascii="Arial" w:eastAsia="Times New Roman" w:hAnsi="Arial" w:cs="Arial"/>
                <w:caps/>
                <w:sz w:val="26"/>
                <w:szCs w:val="26"/>
              </w:rPr>
              <w:t>STATE LAW REQUIREMENTS</w:t>
            </w:r>
          </w:p>
        </w:tc>
        <w:tc>
          <w:tcPr>
            <w:tcW w:w="2760" w:type="dxa"/>
            <w:tcBorders>
              <w:top w:val="outset" w:sz="6" w:space="0" w:color="auto"/>
              <w:left w:val="single" w:sz="6" w:space="0" w:color="04586E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017D" w:rsidRPr="004E017D" w:rsidRDefault="004E017D" w:rsidP="004E017D">
            <w:pPr>
              <w:spacing w:after="210" w:line="240" w:lineRule="auto"/>
              <w:jc w:val="center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4E017D">
              <w:rPr>
                <w:rFonts w:ascii="Arial" w:eastAsia="Times New Roman" w:hAnsi="Arial" w:cs="Arial"/>
                <w:caps/>
                <w:sz w:val="26"/>
                <w:szCs w:val="26"/>
              </w:rPr>
              <w:t>SB 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04586E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017D" w:rsidRPr="004E017D" w:rsidRDefault="004E017D" w:rsidP="004E017D">
            <w:pPr>
              <w:spacing w:after="210" w:line="240" w:lineRule="auto"/>
              <w:jc w:val="center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4E017D">
              <w:rPr>
                <w:rFonts w:ascii="Arial" w:eastAsia="Times New Roman" w:hAnsi="Arial" w:cs="Arial"/>
                <w:caps/>
                <w:sz w:val="26"/>
                <w:szCs w:val="26"/>
              </w:rPr>
              <w:t>AB 2162</w:t>
            </w:r>
          </w:p>
        </w:tc>
        <w:tc>
          <w:tcPr>
            <w:tcW w:w="2426" w:type="dxa"/>
            <w:tcBorders>
              <w:top w:val="outset" w:sz="6" w:space="0" w:color="auto"/>
              <w:left w:val="single" w:sz="6" w:space="0" w:color="04586E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E017D" w:rsidRPr="004E017D" w:rsidRDefault="004E017D" w:rsidP="004E017D">
            <w:pPr>
              <w:spacing w:after="210" w:line="240" w:lineRule="auto"/>
              <w:jc w:val="center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4E017D">
              <w:rPr>
                <w:rFonts w:ascii="Arial" w:eastAsia="Times New Roman" w:hAnsi="Arial" w:cs="Arial"/>
                <w:caps/>
                <w:sz w:val="26"/>
                <w:szCs w:val="26"/>
              </w:rPr>
              <w:t>AB 101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Type of Housing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Residential and mixed-use projects with at least 50% affordable housing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100% affordable housing projects with at least 25% (or 12 units, whichever is greater) set aside for supportive housing.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Low barrier navigation centers</w:t>
            </w:r>
          </w:p>
        </w:tc>
      </w:tr>
      <w:tr w:rsidR="004E017D" w:rsidRPr="004E017D" w:rsidTr="004E017D">
        <w:trPr>
          <w:trHeight w:val="1702"/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Additional Requirements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If project is not a public work: The project must pay prevailing wages.</w:t>
            </w:r>
          </w:p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If project has at least 75 units and is not 100% affordable: The project must use skilled and trained workforce.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On-site supportive services, units with bathrooms and private cooking facilities, developer supportive services plan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“Housing First,” on-site services, and coordinated entry and client information systems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Areas where project is</w:t>
            </w: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br/>
              <w:t>allowed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Urbanized infill site, General Plan or zoning allows for residential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Areas where multifamily and mixed uses are allowed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Areas zoned for mixed-use and nonresidential zones that permit multifamily uses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Areas where project is excluded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Farmland, wetlands, fire hazard zone, hazardous waste site, earthquake fault zone, flood hazard area, floodways, conservation lands and easements, protected habitat, and mobile home parks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N/A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N/A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Anti-Demolition Requirements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Project must not require demolition of deed-restricted housing; rent-controlled housing; a registered historic structure; or where site was tenant-occupied  within the last 10 years.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Existing or demolished units must be replaced as required by the </w:t>
            </w:r>
            <w:hyperlink r:id="rId4" w:tgtFrame="_blank" w:history="1">
              <w:r w:rsidRPr="004E017D">
                <w:rPr>
                  <w:rFonts w:ascii="Arial" w:eastAsia="Times New Roman" w:hAnsi="Arial" w:cs="Arial"/>
                  <w:color w:val="00809C"/>
                  <w:sz w:val="21"/>
                  <w:szCs w:val="21"/>
                  <w:u w:val="single"/>
                </w:rPr>
                <w:t>State Density Bonus Law</w:t>
              </w:r>
            </w:hyperlink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.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N/A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City Development Standards</w:t>
            </w:r>
          </w:p>
        </w:tc>
        <w:tc>
          <w:tcPr>
            <w:tcW w:w="7785" w:type="dxa"/>
            <w:gridSpan w:val="3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All laws require projects to comply with City objective development standards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Parking Reduction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Parking not required if project is near transit, in a historic district, has required but not offered on-street parking permits, or is near car share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Parking not required for supportive housing units if project is near transit stop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N/A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Tribal Consultation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Required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Not required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Not required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Determination of Eligibility Time Limit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Up to 150 units: 60 calendar days</w:t>
            </w: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br/>
              <w:t>Over 150 units: 90 calendar days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30 days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30 days</w:t>
            </w:r>
          </w:p>
        </w:tc>
      </w:tr>
      <w:tr w:rsidR="004E017D" w:rsidRPr="004E017D" w:rsidTr="004E017D">
        <w:trPr>
          <w:tblCellSpacing w:w="15" w:type="dxa"/>
        </w:trPr>
        <w:tc>
          <w:tcPr>
            <w:tcW w:w="3105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6F6F6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Time Limit for Application Review</w:t>
            </w:r>
          </w:p>
        </w:tc>
        <w:tc>
          <w:tcPr>
            <w:tcW w:w="2760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6F6F6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Up to 150 units: 90 calendar days</w:t>
            </w: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br/>
              <w:t>Over 150 units: 180 calendar days</w:t>
            </w:r>
          </w:p>
        </w:tc>
        <w:tc>
          <w:tcPr>
            <w:tcW w:w="2539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outset" w:sz="2" w:space="0" w:color="auto"/>
            </w:tcBorders>
            <w:shd w:val="clear" w:color="auto" w:fill="F6F6F6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Up to 50 units: 60 days</w:t>
            </w: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br/>
              <w:t>Over 50 units: 120 days</w:t>
            </w:r>
          </w:p>
        </w:tc>
        <w:tc>
          <w:tcPr>
            <w:tcW w:w="2426" w:type="dxa"/>
            <w:tcBorders>
              <w:top w:val="outset" w:sz="2" w:space="0" w:color="auto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6F6F6"/>
            <w:vAlign w:val="center"/>
            <w:hideMark/>
          </w:tcPr>
          <w:p w:rsidR="004E017D" w:rsidRPr="004E017D" w:rsidRDefault="004E017D" w:rsidP="004E0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</w:rPr>
            </w:pPr>
            <w:r w:rsidRPr="004E017D">
              <w:rPr>
                <w:rFonts w:ascii="Arial" w:eastAsia="Times New Roman" w:hAnsi="Arial" w:cs="Arial"/>
                <w:color w:val="464646"/>
                <w:sz w:val="21"/>
                <w:szCs w:val="21"/>
              </w:rPr>
              <w:t>60 days</w:t>
            </w:r>
          </w:p>
        </w:tc>
      </w:tr>
    </w:tbl>
    <w:p w:rsidR="00CA3247" w:rsidRDefault="00CA3247" w:rsidP="00F67437"/>
    <w:sectPr w:rsidR="00CA3247" w:rsidSect="004E017D">
      <w:pgSz w:w="12240" w:h="20160" w:code="5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D"/>
    <w:rsid w:val="004E017D"/>
    <w:rsid w:val="00CA3247"/>
    <w:rsid w:val="00F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18CF"/>
  <w15:chartTrackingRefBased/>
  <w15:docId w15:val="{C08B4B45-1AA0-468C-99AF-E37A1FE0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1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0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7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7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3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2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nfo.legislature.ca.gov/faces/codes_displaySection.xhtml?sectionNum=65915&amp;lawCode=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Hunter</dc:creator>
  <cp:keywords/>
  <dc:description/>
  <cp:lastModifiedBy>Alyson Hunter</cp:lastModifiedBy>
  <cp:revision>2</cp:revision>
  <dcterms:created xsi:type="dcterms:W3CDTF">2023-02-02T20:56:00Z</dcterms:created>
  <dcterms:modified xsi:type="dcterms:W3CDTF">2023-02-02T21:04:00Z</dcterms:modified>
</cp:coreProperties>
</file>